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463D52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922F72">
        <w:rPr>
          <w:rFonts w:ascii="Times New Roman" w:eastAsia="Arial Unicode MS" w:hAnsi="Times New Roman" w:cs="Times New Roman"/>
          <w:b/>
          <w:kern w:val="0"/>
          <w:sz w:val="24"/>
          <w:szCs w:val="24"/>
          <w:lang w:eastAsia="lv-LV"/>
          <w14:ligatures w14:val="none"/>
        </w:rPr>
        <w:t>9</w:t>
      </w:r>
      <w:r w:rsidR="00137427">
        <w:rPr>
          <w:rFonts w:ascii="Times New Roman" w:eastAsia="Arial Unicode MS" w:hAnsi="Times New Roman" w:cs="Times New Roman"/>
          <w:b/>
          <w:kern w:val="0"/>
          <w:sz w:val="24"/>
          <w:szCs w:val="24"/>
          <w:lang w:eastAsia="lv-LV"/>
          <w14:ligatures w14:val="none"/>
        </w:rPr>
        <w:t>8</w:t>
      </w:r>
    </w:p>
    <w:p w14:paraId="51A114AB" w14:textId="03750BD6"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670644">
        <w:rPr>
          <w:rFonts w:ascii="Times New Roman" w:eastAsia="Arial Unicode MS" w:hAnsi="Times New Roman" w:cs="Times New Roman"/>
          <w:kern w:val="0"/>
          <w:sz w:val="24"/>
          <w:szCs w:val="24"/>
          <w:lang w:eastAsia="lv-LV"/>
          <w14:ligatures w14:val="none"/>
        </w:rPr>
        <w:t>3</w:t>
      </w:r>
      <w:r w:rsidR="00137427">
        <w:rPr>
          <w:rFonts w:ascii="Times New Roman" w:eastAsia="Arial Unicode MS" w:hAnsi="Times New Roman" w:cs="Times New Roman"/>
          <w:kern w:val="0"/>
          <w:sz w:val="24"/>
          <w:szCs w:val="24"/>
          <w:lang w:eastAsia="lv-LV"/>
          <w14:ligatures w14:val="none"/>
        </w:rPr>
        <w:t>1</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63C43F67" w14:textId="2EE28E9D" w:rsidR="00137427" w:rsidRDefault="00137427" w:rsidP="00137427">
      <w:pPr>
        <w:spacing w:after="0" w:line="240" w:lineRule="auto"/>
        <w:jc w:val="both"/>
        <w:rPr>
          <w:rFonts w:ascii="Times New Roman" w:hAnsi="Times New Roman" w:cs="Times New Roman"/>
          <w:b/>
          <w:sz w:val="24"/>
          <w:szCs w:val="24"/>
        </w:rPr>
      </w:pPr>
      <w:bookmarkStart w:id="285" w:name="_Hlk178169262"/>
      <w:r w:rsidRPr="00137427">
        <w:rPr>
          <w:rFonts w:ascii="Times New Roman" w:hAnsi="Times New Roman" w:cs="Times New Roman"/>
          <w:b/>
          <w:sz w:val="24"/>
          <w:szCs w:val="24"/>
        </w:rPr>
        <w:t>Par padomju režīmu slavinoša pieminekļa demontāžu</w:t>
      </w:r>
      <w:bookmarkEnd w:id="285"/>
    </w:p>
    <w:p w14:paraId="00495B25" w14:textId="77777777" w:rsidR="00137427" w:rsidRPr="00137427" w:rsidRDefault="00137427" w:rsidP="00137427">
      <w:pPr>
        <w:spacing w:after="0" w:line="240" w:lineRule="auto"/>
        <w:jc w:val="both"/>
        <w:rPr>
          <w:rFonts w:ascii="Times New Roman" w:hAnsi="Times New Roman" w:cs="Times New Roman"/>
          <w:b/>
          <w:sz w:val="24"/>
          <w:szCs w:val="24"/>
        </w:rPr>
      </w:pPr>
    </w:p>
    <w:p w14:paraId="7AC13971" w14:textId="79C66E39" w:rsidR="00137427" w:rsidRPr="00137427" w:rsidRDefault="00137427" w:rsidP="00137427">
      <w:pPr>
        <w:pStyle w:val="Paraststmeklis"/>
        <w:spacing w:before="0" w:after="0"/>
        <w:ind w:firstLine="709"/>
        <w:rPr>
          <w:szCs w:val="24"/>
        </w:rPr>
      </w:pPr>
      <w:r w:rsidRPr="00137427">
        <w:rPr>
          <w:szCs w:val="24"/>
        </w:rPr>
        <w:t xml:space="preserve"> Likuma “Par 1994. gada 30. aprīlī Maskavā parakstītajiem Latvijas Republikas un Krievijas Federācijas līgumiem” 7. pants nosaka, ka šā likuma 1. panta 3. punktā minētās Vienošanās 13.</w:t>
      </w:r>
      <w:r>
        <w:rPr>
          <w:szCs w:val="24"/>
        </w:rPr>
        <w:t xml:space="preserve"> </w:t>
      </w:r>
      <w:r w:rsidRPr="00137427">
        <w:rPr>
          <w:szCs w:val="24"/>
        </w:rPr>
        <w:t>panta darbība tiek apturēta no 2022.</w:t>
      </w:r>
      <w:r>
        <w:rPr>
          <w:szCs w:val="24"/>
        </w:rPr>
        <w:t xml:space="preserve"> </w:t>
      </w:r>
      <w:r w:rsidRPr="00137427">
        <w:rPr>
          <w:szCs w:val="24"/>
        </w:rPr>
        <w:t>gada 16.</w:t>
      </w:r>
      <w:r>
        <w:rPr>
          <w:szCs w:val="24"/>
        </w:rPr>
        <w:t xml:space="preserve"> </w:t>
      </w:r>
      <w:r w:rsidRPr="00137427">
        <w:rPr>
          <w:szCs w:val="24"/>
        </w:rPr>
        <w:t>maija līdz brīdim, kad Krievijas Federācija izbeidz starptautisko tiesību pārkāpumus attiecībā uz Ukrainu. Vienošanās 13. pants nosaka, ka saskaņā ar starptautisko praksi Latvijas Puse nodrošina memoriālo būvju vietu sakopšanu, labiekārtošanu un saglabāšanu Latvijas Republikas teritorijā.</w:t>
      </w:r>
    </w:p>
    <w:p w14:paraId="61C59AE3" w14:textId="77777777" w:rsidR="00137427" w:rsidRPr="00137427" w:rsidRDefault="00137427" w:rsidP="00137427">
      <w:pPr>
        <w:pStyle w:val="Paraststmeklis"/>
        <w:tabs>
          <w:tab w:val="left" w:pos="8931"/>
        </w:tabs>
        <w:spacing w:before="0" w:after="0"/>
        <w:ind w:firstLine="709"/>
        <w:rPr>
          <w:szCs w:val="24"/>
        </w:rPr>
      </w:pPr>
      <w:r w:rsidRPr="00137427">
        <w:rPr>
          <w:szCs w:val="24"/>
        </w:rPr>
        <w:t xml:space="preserve"> Likuma “Par padomju un nacistisko režīmu slavinošu objektu eksponēšanas aizliegumu un to demontāžu Latvijas Republikas teritorijā” (turpmāk – Likums) </w:t>
      </w:r>
      <w:r w:rsidRPr="00137427">
        <w:rPr>
          <w:bCs/>
          <w:szCs w:val="24"/>
        </w:rPr>
        <w:t>3. panta 1., 2. un  3. punkts nosaka, ka p</w:t>
      </w:r>
      <w:r w:rsidRPr="00137427">
        <w:rPr>
          <w:szCs w:val="24"/>
        </w:rPr>
        <w:t>ubliskajā ārtelpā (izņemot akreditētus muzejus) aizliegts eksponēt pieminekļus, piemiņas zīmes, piemiņas plāksnes, piemiņas vietas, arhitektoniskus vai mākslinieciskus veidojumus un citus objektus (turpmāk — objekti), kas izvietoti Latvijas teritorijā kopš 1940. gada un atbilst vismaz vienam no šādiem kritērijiem: 1) slavina PSRS okupācijas varu, ar to saistītu notikumu vai personu; 2) slavina totalitārismu, vardarbību, militāru agresiju, karu un kara ideoloģiju; 3) ietver padomju varas simbolus.</w:t>
      </w:r>
    </w:p>
    <w:p w14:paraId="74D3D399" w14:textId="77777777" w:rsidR="00137427" w:rsidRPr="00137427" w:rsidRDefault="00137427" w:rsidP="00137427">
      <w:pPr>
        <w:spacing w:after="0" w:line="240" w:lineRule="auto"/>
        <w:ind w:firstLine="709"/>
        <w:jc w:val="both"/>
        <w:rPr>
          <w:rFonts w:ascii="Times New Roman" w:hAnsi="Times New Roman" w:cs="Times New Roman"/>
          <w:sz w:val="24"/>
          <w:szCs w:val="24"/>
        </w:rPr>
      </w:pPr>
      <w:r w:rsidRPr="00137427">
        <w:rPr>
          <w:rFonts w:ascii="Times New Roman" w:hAnsi="Times New Roman" w:cs="Times New Roman"/>
          <w:sz w:val="24"/>
          <w:szCs w:val="24"/>
        </w:rPr>
        <w:t xml:space="preserve"> Tāpēc ir jāizvērtē padomju režīmu slavinošu pieminekļu un memoriālu, kas glorificē padomju ideoloģiju un slavina kara ideālus, atrašanos Latvijas teritorijā, tajā skaitā, pašvaldības teritorijā. </w:t>
      </w:r>
    </w:p>
    <w:p w14:paraId="45D2195D" w14:textId="77777777" w:rsidR="00137427" w:rsidRDefault="00137427" w:rsidP="00137427">
      <w:pPr>
        <w:pStyle w:val="tv213"/>
        <w:spacing w:before="0" w:beforeAutospacing="0" w:after="0" w:afterAutospacing="0"/>
        <w:ind w:firstLine="709"/>
        <w:jc w:val="both"/>
      </w:pPr>
      <w:r w:rsidRPr="00137427">
        <w:t xml:space="preserve"> Likuma 4. panta trešā daļa nosaka, ka lēmumu par Likuma </w:t>
      </w:r>
      <w:hyperlink r:id="rId8" w:anchor="p3" w:history="1">
        <w:r w:rsidRPr="00137427">
          <w:rPr>
            <w:rStyle w:val="Hipersaite"/>
            <w:color w:val="auto"/>
            <w:u w:val="none"/>
          </w:rPr>
          <w:t>3. pantā</w:t>
        </w:r>
      </w:hyperlink>
      <w:r w:rsidRPr="00137427">
        <w:t xml:space="preserve"> noteiktajiem kritērijiem atbilstoša objekta, izņemot šā panta otrajā daļā minētos objektus, demontāžu pieņem tā pašvaldība, kuras administratīvajā teritorijā attiecīgais objekts atrodas.</w:t>
      </w:r>
    </w:p>
    <w:p w14:paraId="2C178261" w14:textId="77777777" w:rsidR="00137427" w:rsidRDefault="00137427" w:rsidP="00137427">
      <w:pPr>
        <w:pStyle w:val="tv213"/>
        <w:spacing w:before="0" w:beforeAutospacing="0" w:after="0" w:afterAutospacing="0"/>
        <w:ind w:firstLine="709"/>
        <w:jc w:val="both"/>
      </w:pPr>
      <w:r w:rsidRPr="00137427">
        <w:t>Tas nozīmē, ka lēmumu par citu objektu, kas atbilst Likuma kritērijiem, demontāžu pieņem pašvaldība.</w:t>
      </w:r>
    </w:p>
    <w:p w14:paraId="027AC5DE" w14:textId="1BA88C35" w:rsidR="00137427" w:rsidRPr="00137427" w:rsidRDefault="00137427" w:rsidP="00137427">
      <w:pPr>
        <w:pStyle w:val="tv213"/>
        <w:spacing w:before="0" w:beforeAutospacing="0" w:after="0" w:afterAutospacing="0"/>
        <w:ind w:firstLine="709"/>
        <w:jc w:val="both"/>
      </w:pPr>
      <w:r w:rsidRPr="00137427">
        <w:t xml:space="preserve">Ir konstatēts, ka pašvaldības teritorijā vēl atrodas sekojošs objekts, kas nav uzskaitīti Ministru kabineta noteikumos Nr. 448: </w:t>
      </w:r>
    </w:p>
    <w:p w14:paraId="3B057844" w14:textId="77777777" w:rsidR="00137427" w:rsidRPr="00137427" w:rsidRDefault="00137427" w:rsidP="00137427">
      <w:pPr>
        <w:numPr>
          <w:ilvl w:val="0"/>
          <w:numId w:val="57"/>
        </w:numPr>
        <w:tabs>
          <w:tab w:val="left" w:pos="851"/>
        </w:tabs>
        <w:spacing w:after="0" w:line="240" w:lineRule="auto"/>
        <w:ind w:left="0" w:firstLine="709"/>
        <w:jc w:val="both"/>
        <w:rPr>
          <w:rFonts w:ascii="Times New Roman" w:hAnsi="Times New Roman" w:cs="Times New Roman"/>
          <w:b/>
          <w:sz w:val="24"/>
          <w:szCs w:val="24"/>
        </w:rPr>
      </w:pPr>
      <w:r w:rsidRPr="00137427">
        <w:rPr>
          <w:rFonts w:ascii="Times New Roman" w:hAnsi="Times New Roman" w:cs="Times New Roman"/>
          <w:b/>
          <w:sz w:val="24"/>
          <w:szCs w:val="24"/>
        </w:rPr>
        <w:t>piemiņas vieta bojā gājušajam Padomju armijas lidotājam (turpmāk – objekts).</w:t>
      </w:r>
    </w:p>
    <w:p w14:paraId="345ED2DD" w14:textId="77777777" w:rsidR="00137427" w:rsidRDefault="00137427" w:rsidP="00137427">
      <w:pPr>
        <w:spacing w:after="0" w:line="240" w:lineRule="auto"/>
        <w:ind w:firstLine="709"/>
        <w:jc w:val="both"/>
        <w:rPr>
          <w:rFonts w:ascii="Times New Roman" w:hAnsi="Times New Roman" w:cs="Times New Roman"/>
          <w:sz w:val="24"/>
          <w:szCs w:val="24"/>
        </w:rPr>
      </w:pPr>
    </w:p>
    <w:p w14:paraId="5BE39F65" w14:textId="4FB380BE" w:rsidR="00137427" w:rsidRPr="00137427" w:rsidRDefault="00137427" w:rsidP="00137427">
      <w:pPr>
        <w:spacing w:after="0" w:line="240" w:lineRule="auto"/>
        <w:ind w:firstLine="709"/>
        <w:jc w:val="both"/>
        <w:rPr>
          <w:rFonts w:ascii="Times New Roman" w:hAnsi="Times New Roman" w:cs="Times New Roman"/>
          <w:sz w:val="24"/>
          <w:szCs w:val="24"/>
        </w:rPr>
      </w:pPr>
      <w:r w:rsidRPr="00137427">
        <w:rPr>
          <w:rFonts w:ascii="Times New Roman" w:hAnsi="Times New Roman" w:cs="Times New Roman"/>
          <w:sz w:val="24"/>
          <w:szCs w:val="24"/>
        </w:rPr>
        <w:t xml:space="preserve">Likuma </w:t>
      </w:r>
      <w:r w:rsidRPr="00137427">
        <w:rPr>
          <w:rFonts w:ascii="Times New Roman" w:hAnsi="Times New Roman" w:cs="Times New Roman"/>
          <w:bCs/>
          <w:sz w:val="24"/>
          <w:szCs w:val="24"/>
        </w:rPr>
        <w:t>5. panta pirmā daļa nosaka, ka, i</w:t>
      </w:r>
      <w:r w:rsidRPr="00137427">
        <w:rPr>
          <w:rFonts w:ascii="Times New Roman" w:hAnsi="Times New Roman" w:cs="Times New Roman"/>
          <w:sz w:val="24"/>
          <w:szCs w:val="24"/>
        </w:rPr>
        <w:t xml:space="preserve">zvērtējot objekta atbilstību Likuma </w:t>
      </w:r>
      <w:hyperlink r:id="rId9" w:anchor="p3" w:history="1">
        <w:r w:rsidRPr="00137427">
          <w:rPr>
            <w:rStyle w:val="Hipersaite"/>
            <w:rFonts w:ascii="Times New Roman" w:hAnsi="Times New Roman" w:cs="Times New Roman"/>
            <w:color w:val="auto"/>
            <w:sz w:val="24"/>
            <w:szCs w:val="24"/>
            <w:u w:val="none"/>
          </w:rPr>
          <w:t>3. pantā</w:t>
        </w:r>
      </w:hyperlink>
      <w:r w:rsidRPr="00137427">
        <w:rPr>
          <w:rFonts w:ascii="Times New Roman" w:hAnsi="Times New Roman" w:cs="Times New Roman"/>
          <w:sz w:val="24"/>
          <w:szCs w:val="24"/>
        </w:rPr>
        <w:t xml:space="preserve"> noteiktajiem kritērijiem, tiek noskaidrots tā tapšanas laiks, uzstādīšanas mērķis un ideoloģiskais vēstījums, novietojums (ietekme uz publisko vidi), kā arī tā oriģinālo detaļu vai fragmentu mākslinieciskā vērtība, arhitektoniskā kvalitāte vai tā kultūrvēsturiskā vai izglītojošā nozīme. Pirms objekta demontāžas tiek veikta tā fotofiksācija un objekts tiek dokumentēts. Ja demontējamā objekta oriģinālajām detaļām vai fragmentiem ir mākslinieciska vērtība, arhitektoniska kvalitāte vai kultūrvēsturiska vai izglītojoša nozīme, objekts pirms tā demontāžas dokumentējams, izmantojot trīsdimensionālo lāzerskenēšanu.</w:t>
      </w:r>
    </w:p>
    <w:p w14:paraId="4666DC9A" w14:textId="77777777" w:rsidR="00137427" w:rsidRPr="00137427" w:rsidRDefault="00137427" w:rsidP="00137427">
      <w:pPr>
        <w:pStyle w:val="tv213"/>
        <w:spacing w:before="0" w:beforeAutospacing="0" w:after="0" w:afterAutospacing="0"/>
        <w:ind w:firstLine="709"/>
        <w:jc w:val="both"/>
      </w:pPr>
      <w:r w:rsidRPr="00137427">
        <w:lastRenderedPageBreak/>
        <w:t xml:space="preserve"> Likuma 5. panta otrā daļa nosaka, ka Likuma </w:t>
      </w:r>
      <w:hyperlink r:id="rId10" w:anchor="p4" w:history="1">
        <w:r w:rsidRPr="00137427">
          <w:rPr>
            <w:rStyle w:val="Hipersaite"/>
            <w:color w:val="auto"/>
            <w:u w:val="none"/>
          </w:rPr>
          <w:t>4. pantā</w:t>
        </w:r>
      </w:hyperlink>
      <w:r w:rsidRPr="00137427">
        <w:t xml:space="preserve"> minēto objektu dokumentēšanu un demontāžu veic tā pašvaldība, kuras administratīvajā teritorijā attiecīgais objekts atrodas.</w:t>
      </w:r>
    </w:p>
    <w:p w14:paraId="7329E3E6" w14:textId="1311958F" w:rsidR="00137427" w:rsidRPr="00137427" w:rsidRDefault="00137427" w:rsidP="00137427">
      <w:pPr>
        <w:pStyle w:val="tv213"/>
        <w:spacing w:before="0" w:beforeAutospacing="0" w:after="0" w:afterAutospacing="0"/>
        <w:ind w:firstLine="709"/>
        <w:jc w:val="both"/>
      </w:pPr>
      <w:r w:rsidRPr="00137427">
        <w:t xml:space="preserve"> Objekta izvērtēšanu pēc pašvaldības uzdevuma veica Madonas novadpētniecības un mākslas muzejs jau 2022.</w:t>
      </w:r>
      <w:r w:rsidR="007C4D2C">
        <w:t> </w:t>
      </w:r>
      <w:r w:rsidRPr="00137427">
        <w:t xml:space="preserve">gadā, kas sagatavoja atzinumu: </w:t>
      </w:r>
    </w:p>
    <w:p w14:paraId="2918D43C" w14:textId="26D63A29" w:rsidR="00137427" w:rsidRPr="00137427" w:rsidRDefault="00137427" w:rsidP="00137427">
      <w:pPr>
        <w:pStyle w:val="Paraststmeklis"/>
        <w:spacing w:before="0" w:after="0"/>
        <w:ind w:firstLine="709"/>
        <w:rPr>
          <w:szCs w:val="24"/>
          <w:lang w:val="lv-LV"/>
        </w:rPr>
      </w:pPr>
      <w:r w:rsidRPr="00137427">
        <w:rPr>
          <w:szCs w:val="24"/>
          <w:lang w:val="lv-LV"/>
        </w:rPr>
        <w:t xml:space="preserve"> Zemes vienībās (kadastra apzīmējums 7070 007 0347, zemes vienība ir ceļš P82 (Ļaudona – Jaunkalsnava), kas atrodas VAS “Latvijas Valsts ceļi” pārziņā, un kadastra apzīmējums 7070 007 0300, zemes vienības tiesiskais valdītājs pašvaldība) Madonas novada Ļaudonas pagasta pārvaldes teritorijā atrodas piemiņas vieta 1987.</w:t>
      </w:r>
      <w:r w:rsidR="007C4D2C">
        <w:rPr>
          <w:szCs w:val="24"/>
          <w:lang w:val="lv-LV"/>
        </w:rPr>
        <w:t> </w:t>
      </w:r>
      <w:r w:rsidRPr="00137427">
        <w:rPr>
          <w:szCs w:val="24"/>
          <w:lang w:val="lv-LV"/>
        </w:rPr>
        <w:t>g. 16.</w:t>
      </w:r>
      <w:r w:rsidR="007C4D2C">
        <w:rPr>
          <w:szCs w:val="24"/>
          <w:lang w:val="lv-LV"/>
        </w:rPr>
        <w:t> </w:t>
      </w:r>
      <w:r w:rsidRPr="00137427">
        <w:rPr>
          <w:szCs w:val="24"/>
          <w:lang w:val="lv-LV"/>
        </w:rPr>
        <w:t>oktobrī bojā gājušajam Padomju armijas lidotājam.</w:t>
      </w:r>
    </w:p>
    <w:p w14:paraId="3892C801" w14:textId="77777777" w:rsidR="00137427" w:rsidRPr="00137427" w:rsidRDefault="00137427" w:rsidP="00137427">
      <w:pPr>
        <w:pStyle w:val="Paraststmeklis"/>
        <w:spacing w:before="0" w:after="0"/>
        <w:ind w:firstLine="709"/>
        <w:rPr>
          <w:szCs w:val="24"/>
          <w:lang w:val="lv-LV"/>
        </w:rPr>
      </w:pPr>
      <w:r w:rsidRPr="00137427">
        <w:rPr>
          <w:szCs w:val="24"/>
          <w:lang w:val="lv-LV"/>
        </w:rPr>
        <w:t xml:space="preserve"> Piemiņas vietas apraksts: Piemiņas vieta veltīta 886. atsevišķā aviācijas izlūkošanas pulka pulkvedim Korņevam Arkādijam, kurš gājis bojā, pildot dienesta pienākumus mācību lidojuma laikā. Piemiņas vieta atrodas Ļaudonā, pie krustojuma Mārciena-Jaukalsnava, ceļa malā, uz uzbēruma. Uz to ved kāpnes. Betona postamentā iestiprināta avarējušās lidmašīnas aizmugurējās daļa (“astes”), pie tās piestiprinātas divas metāla plāksnītes ar lidotāja dienesta pakāpi, vārdu uzvārdu un dzīves gadiem. Tapšanas laiks: ap 1987. – 1988. gadu.</w:t>
      </w:r>
    </w:p>
    <w:p w14:paraId="720FAFC4" w14:textId="77777777" w:rsidR="00137427" w:rsidRPr="00137427" w:rsidRDefault="00137427" w:rsidP="00137427">
      <w:pPr>
        <w:pStyle w:val="Bezatstarpm"/>
        <w:ind w:firstLine="709"/>
        <w:jc w:val="both"/>
        <w:rPr>
          <w:rFonts w:ascii="Times New Roman" w:hAnsi="Times New Roman" w:cs="Times New Roman"/>
          <w:sz w:val="24"/>
          <w:szCs w:val="24"/>
        </w:rPr>
      </w:pPr>
      <w:r w:rsidRPr="00137427">
        <w:rPr>
          <w:rFonts w:ascii="Times New Roman" w:hAnsi="Times New Roman" w:cs="Times New Roman"/>
          <w:sz w:val="24"/>
          <w:szCs w:val="24"/>
        </w:rPr>
        <w:t>Uzstādīšanas mērķis un ideoloģiskais vēstījums: bojā gājuša Padomju armijas karavīra godināšana, padomju propagandas objekts, satur padomju simboliku.</w:t>
      </w:r>
    </w:p>
    <w:p w14:paraId="77E1C8BB" w14:textId="34CC39F5" w:rsidR="00137427" w:rsidRPr="00137427" w:rsidRDefault="00137427" w:rsidP="00137427">
      <w:pPr>
        <w:pStyle w:val="Bezatstarpm"/>
        <w:ind w:firstLine="709"/>
        <w:jc w:val="both"/>
        <w:rPr>
          <w:rFonts w:ascii="Times New Roman" w:hAnsi="Times New Roman" w:cs="Times New Roman"/>
          <w:sz w:val="24"/>
          <w:szCs w:val="24"/>
        </w:rPr>
      </w:pPr>
      <w:r w:rsidRPr="00137427">
        <w:rPr>
          <w:rFonts w:ascii="Times New Roman" w:hAnsi="Times New Roman" w:cs="Times New Roman"/>
          <w:sz w:val="24"/>
          <w:szCs w:val="24"/>
        </w:rPr>
        <w:t>Novietojums: piemiņas vieta neatstāj ietekmi uz publisko vidi, atrodas ārpus apdzīvotas vietas, ceļa malā. Mākslinieciskā, arhitektoniskā nozīme: nav vērtējams kā nozīmīgs mākslas darbs. Piemiņas vietas autoru nav izdevies noskaidrot. Kultūrvēsturiskā, izglītojošā nozīme: raksturīgs padomju propagandas objekts</w:t>
      </w:r>
    </w:p>
    <w:p w14:paraId="1804EF76" w14:textId="19D84565" w:rsidR="00137427" w:rsidRPr="00137427" w:rsidRDefault="00137427" w:rsidP="00137427">
      <w:pPr>
        <w:pStyle w:val="tv213"/>
        <w:spacing w:before="0" w:beforeAutospacing="0" w:after="0" w:afterAutospacing="0"/>
        <w:ind w:firstLine="709"/>
        <w:jc w:val="both"/>
      </w:pPr>
      <w:r w:rsidRPr="00137427">
        <w:t>Tāpēc secināms, ka objekts izvietots pēc 1940. gada, tas slavina PSRS okupācijas varu, ar to saistītu notikumu un personas un ietver padomju varas simbolus.</w:t>
      </w:r>
    </w:p>
    <w:p w14:paraId="633F0BDD" w14:textId="77777777" w:rsidR="00137427" w:rsidRDefault="00137427" w:rsidP="00137427">
      <w:pPr>
        <w:pStyle w:val="tv213"/>
        <w:spacing w:before="0" w:beforeAutospacing="0" w:after="0" w:afterAutospacing="0"/>
        <w:ind w:firstLine="709"/>
        <w:jc w:val="both"/>
      </w:pPr>
      <w:r w:rsidRPr="00137427">
        <w:t xml:space="preserve"> Likuma 5. panta ceturtā daļa nosaka, ka par Likuma </w:t>
      </w:r>
      <w:hyperlink r:id="rId11" w:anchor="p4" w:history="1">
        <w:r w:rsidRPr="00137427">
          <w:rPr>
            <w:rStyle w:val="Hipersaite"/>
            <w:color w:val="auto"/>
            <w:u w:val="none"/>
          </w:rPr>
          <w:t>4. panta</w:t>
        </w:r>
      </w:hyperlink>
      <w:r w:rsidRPr="00137427">
        <w:t xml:space="preserve"> trešajā daļā minēto objektu demontāžas uzsākšanu pašvaldības informē Latvijas Okupācijas muzeju un Nacionālo kultūras mantojuma pārvaldi.</w:t>
      </w:r>
    </w:p>
    <w:p w14:paraId="327D978F" w14:textId="77777777" w:rsidR="00137427" w:rsidRDefault="00137427" w:rsidP="00137427">
      <w:pPr>
        <w:pStyle w:val="tv213"/>
        <w:spacing w:before="0" w:beforeAutospacing="0" w:after="0" w:afterAutospacing="0"/>
        <w:ind w:firstLine="709"/>
        <w:jc w:val="both"/>
      </w:pPr>
      <w:r w:rsidRPr="00137427">
        <w:t>Likuma 5. panta trešā daļa nosaka, ka ar objekta demontāžu šā likuma izpratnē saprotama objekta nojaukšana vai novākšana (ja attiecīgais objekts nav būve) tādā veidā, ka attiecīgais objekts vairs nepastāv, kā arī atbrīvotās teritorijas sakopšana.</w:t>
      </w:r>
    </w:p>
    <w:p w14:paraId="77459A73" w14:textId="77777777" w:rsidR="00137427" w:rsidRDefault="00137427" w:rsidP="00137427">
      <w:pPr>
        <w:pStyle w:val="tv213"/>
        <w:spacing w:before="0" w:beforeAutospacing="0" w:after="0" w:afterAutospacing="0"/>
        <w:ind w:firstLine="709"/>
        <w:jc w:val="both"/>
      </w:pPr>
      <w:r w:rsidRPr="00137427">
        <w:t>Likuma 6. panta pirmā daļa nosaka, ka, ja saskaņā ar normatīvajiem aktiem objekta demontāžai ir piemērojami būvniecību regulējoši normatīvie akti, attiecīgo objektu demontē, ievērojot šā panta noteikumus un īpašo būvniecības procedūras piemērošanas kārtību.</w:t>
      </w:r>
    </w:p>
    <w:p w14:paraId="2A3314EC" w14:textId="77777777" w:rsidR="00137427" w:rsidRDefault="00137427" w:rsidP="00137427">
      <w:pPr>
        <w:pStyle w:val="tv213"/>
        <w:spacing w:before="0" w:beforeAutospacing="0" w:after="0" w:afterAutospacing="0"/>
        <w:ind w:firstLine="709"/>
        <w:jc w:val="both"/>
      </w:pPr>
      <w:r w:rsidRPr="00137427">
        <w:t>Likuma 6. panta ceturtā daļa nosaka, ka objekta demontāžu ierosināt ir tiesīga attiecīgā pašvaldība neatkarīgi no objekta un zemes, uz kuras tas atrodas, piederības.</w:t>
      </w:r>
    </w:p>
    <w:p w14:paraId="5C526A59" w14:textId="77777777" w:rsidR="00137427" w:rsidRDefault="00137427" w:rsidP="00137427">
      <w:pPr>
        <w:pStyle w:val="tv213"/>
        <w:spacing w:before="0" w:beforeAutospacing="0" w:after="0" w:afterAutospacing="0"/>
        <w:ind w:firstLine="709"/>
        <w:jc w:val="both"/>
      </w:pPr>
      <w:r w:rsidRPr="00137427">
        <w:t xml:space="preserve">Likuma 6. panta sestā daļa nosaka, ka pašvaldība ir tiesīga Likuma </w:t>
      </w:r>
      <w:hyperlink r:id="rId12" w:anchor="p4" w:history="1">
        <w:r w:rsidRPr="00137427">
          <w:rPr>
            <w:rStyle w:val="Hipersaite"/>
            <w:color w:val="auto"/>
            <w:u w:val="none"/>
          </w:rPr>
          <w:t>4. panta</w:t>
        </w:r>
      </w:hyperlink>
      <w:r w:rsidRPr="00137427">
        <w:t xml:space="preserve"> otrajā un trešajā daļā minēto objektu demontāžu veikt saviem spēkiem vai uzdot to veikt savai institūcijai vai kapitālsabiedrībai. Attiecīgās personas reģistrācija būvkomersantu reģistrā nav nepieciešama. Ja objekts atrodas pilsētā vai citā blīvās apbūves teritorijā, objekta nojaukšanai (demontāžai) nepieciešamos būvdarbus veic pašvaldības norīkota vai iecelta būvdarbu vadītāja vadībā.</w:t>
      </w:r>
    </w:p>
    <w:p w14:paraId="1719CF1A" w14:textId="77777777" w:rsidR="00137427" w:rsidRDefault="00137427" w:rsidP="00137427">
      <w:pPr>
        <w:pStyle w:val="tv213"/>
        <w:spacing w:before="0" w:beforeAutospacing="0" w:after="0" w:afterAutospacing="0"/>
        <w:ind w:firstLine="709"/>
        <w:jc w:val="both"/>
      </w:pPr>
      <w:r w:rsidRPr="00137427">
        <w:t>Likuma 6. panta septītā daļa nosaka, ka pašvaldība pirms objekta demontāžas darbu uzsākšanas rakstveidā informē par to zemes, uz kuras objekts atrodas, īpašnieku (tiesisko valdītāju).</w:t>
      </w:r>
    </w:p>
    <w:p w14:paraId="279AEEDB" w14:textId="77777777" w:rsidR="00137427" w:rsidRDefault="00137427" w:rsidP="00137427">
      <w:pPr>
        <w:pStyle w:val="tv213"/>
        <w:spacing w:before="0" w:beforeAutospacing="0" w:after="0" w:afterAutospacing="0"/>
        <w:ind w:firstLine="709"/>
        <w:jc w:val="both"/>
      </w:pPr>
      <w:r w:rsidRPr="00137427">
        <w:t xml:space="preserve">Likuma 8. panta pirmā daļa nosaka, ka Likuma </w:t>
      </w:r>
      <w:hyperlink r:id="rId13" w:anchor="p4" w:history="1">
        <w:r w:rsidRPr="00137427">
          <w:rPr>
            <w:rStyle w:val="Hipersaite"/>
            <w:color w:val="auto"/>
            <w:u w:val="none"/>
          </w:rPr>
          <w:t>4. pantā</w:t>
        </w:r>
      </w:hyperlink>
      <w:r w:rsidRPr="00137427">
        <w:t xml:space="preserve"> minēto objektu demontāžu finansē vienādā apmērā no valsts un tās pašvaldības, kuras administratīvajā teritorijā attiecīgais objekts atrodas, budžeta līdzekļiem.</w:t>
      </w:r>
    </w:p>
    <w:p w14:paraId="3029CE2D" w14:textId="448A9F60" w:rsidR="00137427" w:rsidRDefault="00137427" w:rsidP="002347A6">
      <w:pPr>
        <w:pStyle w:val="tv213"/>
        <w:spacing w:before="0" w:beforeAutospacing="0" w:after="0" w:afterAutospacing="0"/>
        <w:ind w:firstLine="709"/>
        <w:jc w:val="both"/>
      </w:pPr>
      <w:r w:rsidRPr="00137427">
        <w:t>Likuma 8. panta ceturtā daļa nosaka, ka valsts budžeta līdzekļu piešķiršanas un izlietošanas kārtību nosaka Ministru kabinets.</w:t>
      </w:r>
    </w:p>
    <w:p w14:paraId="623A5802" w14:textId="6205A9FB" w:rsidR="002347A6" w:rsidRDefault="00137427" w:rsidP="002347A6">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137427">
        <w:rPr>
          <w:rFonts w:ascii="Times New Roman" w:hAnsi="Times New Roman" w:cs="Times New Roman"/>
          <w:sz w:val="24"/>
          <w:szCs w:val="24"/>
        </w:rPr>
        <w:t xml:space="preserve">Noklausījusies sniegto informāciju, pamatojoties uz likuma “Par padomju un nacistisko režīmu slavinošu objektu eksponēšanas aizliegumu un to demontāžu Latvijas Republikas </w:t>
      </w:r>
      <w:r w:rsidRPr="00137427">
        <w:rPr>
          <w:rFonts w:ascii="Times New Roman" w:eastAsia="Calibri" w:hAnsi="Times New Roman" w:cs="Times New Roman"/>
          <w:sz w:val="24"/>
          <w:szCs w:val="24"/>
        </w:rPr>
        <w:t>teritorijā” 3. panta 1., 2. un 3.</w:t>
      </w:r>
      <w:r w:rsidR="007C4D2C">
        <w:rPr>
          <w:rFonts w:ascii="Times New Roman" w:eastAsia="Calibri" w:hAnsi="Times New Roman" w:cs="Times New Roman"/>
          <w:sz w:val="24"/>
          <w:szCs w:val="24"/>
        </w:rPr>
        <w:t> </w:t>
      </w:r>
      <w:r w:rsidRPr="00137427">
        <w:rPr>
          <w:rFonts w:ascii="Times New Roman" w:eastAsia="Calibri" w:hAnsi="Times New Roman" w:cs="Times New Roman"/>
          <w:sz w:val="24"/>
          <w:szCs w:val="24"/>
        </w:rPr>
        <w:t>punktu un 4. panta trešo daļu un likuma “Par pašvaldībām” 21. panta pirmās daļas 27. punktu,</w:t>
      </w:r>
      <w:r w:rsidR="007C4D2C">
        <w:rPr>
          <w:rFonts w:ascii="Times New Roman" w:eastAsia="Calibri" w:hAnsi="Times New Roman" w:cs="Times New Roman"/>
          <w:sz w:val="24"/>
          <w:szCs w:val="24"/>
        </w:rPr>
        <w:t xml:space="preserve"> </w:t>
      </w:r>
      <w:r w:rsidRPr="00137427">
        <w:rPr>
          <w:rFonts w:ascii="Times New Roman" w:eastAsia="Calibri" w:hAnsi="Times New Roman" w:cs="Times New Roman"/>
          <w:sz w:val="24"/>
          <w:szCs w:val="24"/>
        </w:rPr>
        <w:t xml:space="preserve">ņemot vērā 12.09.2024. Kultūras un sporta jautājumu komitejas atzinumu un </w:t>
      </w:r>
      <w:r w:rsidRPr="00137427">
        <w:rPr>
          <w:rFonts w:ascii="Times New Roman" w:hAnsi="Times New Roman" w:cs="Times New Roman"/>
          <w:color w:val="000000"/>
          <w:sz w:val="24"/>
          <w:szCs w:val="24"/>
        </w:rPr>
        <w:t xml:space="preserve">17.09.2024. Finanšu un attīstības komitejas atzinumu, </w:t>
      </w:r>
      <w:r w:rsidRPr="00137427">
        <w:rPr>
          <w:rFonts w:ascii="Times New Roman" w:eastAsia="Calibri" w:hAnsi="Times New Roman" w:cs="Times New Roman"/>
          <w:sz w:val="24"/>
          <w:szCs w:val="24"/>
        </w:rPr>
        <w:t xml:space="preserve"> </w:t>
      </w:r>
      <w:bookmarkStart w:id="286" w:name="_Hlk178237737"/>
      <w:r w:rsidR="002347A6">
        <w:rPr>
          <w:rFonts w:ascii="Times New Roman" w:eastAsia="Times New Roman" w:hAnsi="Times New Roman" w:cs="Times New Roman"/>
          <w:kern w:val="0"/>
          <w:sz w:val="24"/>
          <w:szCs w:val="24"/>
          <w:lang w:eastAsia="lo-LA" w:bidi="lo-LA"/>
          <w14:ligatures w14:val="none"/>
        </w:rPr>
        <w:t>atklāti balsojot</w:t>
      </w:r>
      <w:r w:rsidR="002347A6">
        <w:rPr>
          <w:rFonts w:ascii="Times New Roman" w:eastAsia="Times New Roman" w:hAnsi="Times New Roman" w:cs="Times New Roman"/>
          <w:b/>
          <w:kern w:val="0"/>
          <w:sz w:val="24"/>
          <w:szCs w:val="24"/>
          <w:lang w:eastAsia="lo-LA" w:bidi="lo-LA"/>
          <w14:ligatures w14:val="none"/>
        </w:rPr>
        <w:t xml:space="preserve">: </w:t>
      </w:r>
      <w:r w:rsidR="002347A6">
        <w:rPr>
          <w:rFonts w:ascii="Times New Roman" w:eastAsia="Times New Roman" w:hAnsi="Times New Roman" w:cs="Times New Roman"/>
          <w:b/>
          <w:kern w:val="0"/>
          <w:sz w:val="24"/>
          <w:szCs w:val="24"/>
          <w:lang w:eastAsia="lo-LA" w:bidi="lo-LA"/>
          <w14:ligatures w14:val="none"/>
        </w:rPr>
        <w:lastRenderedPageBreak/>
        <w:t>PAR – 1</w:t>
      </w:r>
      <w:r w:rsidR="00FD430D">
        <w:rPr>
          <w:rFonts w:ascii="Times New Roman" w:eastAsia="Times New Roman" w:hAnsi="Times New Roman" w:cs="Times New Roman"/>
          <w:b/>
          <w:kern w:val="0"/>
          <w:sz w:val="24"/>
          <w:szCs w:val="24"/>
          <w:lang w:eastAsia="lo-LA" w:bidi="lo-LA"/>
          <w14:ligatures w14:val="none"/>
        </w:rPr>
        <w:t>3</w:t>
      </w:r>
      <w:r w:rsidR="002347A6">
        <w:rPr>
          <w:rFonts w:ascii="Times New Roman" w:eastAsia="Times New Roman" w:hAnsi="Times New Roman" w:cs="Times New Roman"/>
          <w:b/>
          <w:kern w:val="0"/>
          <w:sz w:val="24"/>
          <w:szCs w:val="24"/>
          <w:lang w:eastAsia="lo-LA" w:bidi="lo-LA"/>
          <w14:ligatures w14:val="none"/>
        </w:rPr>
        <w:t xml:space="preserve"> </w:t>
      </w:r>
      <w:r w:rsidR="002347A6">
        <w:rPr>
          <w:rFonts w:ascii="Times New Roman" w:eastAsia="Times New Roman" w:hAnsi="Times New Roman" w:cs="Times New Roman"/>
          <w:bCs/>
          <w:kern w:val="0"/>
          <w:sz w:val="24"/>
          <w:szCs w:val="24"/>
          <w:lang w:eastAsia="lo-LA" w:bidi="lo-LA"/>
          <w14:ligatures w14:val="none"/>
        </w:rPr>
        <w:t>(</w:t>
      </w:r>
      <w:r w:rsidR="002347A6">
        <w:rPr>
          <w:rFonts w:ascii="Times New Roman" w:hAnsi="Times New Roman" w:cs="Times New Roman"/>
          <w:bCs/>
          <w:noProof/>
          <w:sz w:val="24"/>
          <w:szCs w:val="24"/>
        </w:rPr>
        <w:t>Aigars Šķēls, Aivis Masaļskis, Andris Sakne, Artūrs Čačka, Artūrs Grandāns, Arvīds Greidiņš, Gatis Teilis, Iveta Peilāne, Kaspars Udrass, Māris Olte, Rūdolfs Preiss, Sandra Maksimova, Zigfrīds Gora</w:t>
      </w:r>
      <w:r w:rsidR="002347A6">
        <w:rPr>
          <w:rFonts w:ascii="Times New Roman" w:eastAsia="Times New Roman" w:hAnsi="Times New Roman" w:cs="Times New Roman"/>
          <w:bCs/>
          <w:kern w:val="0"/>
          <w:sz w:val="24"/>
          <w:szCs w:val="24"/>
          <w:lang w:eastAsia="lo-LA" w:bidi="lo-LA"/>
          <w14:ligatures w14:val="none"/>
        </w:rPr>
        <w:t xml:space="preserve">), </w:t>
      </w:r>
      <w:r w:rsidR="002347A6">
        <w:rPr>
          <w:rFonts w:ascii="Times New Roman" w:eastAsia="Times New Roman" w:hAnsi="Times New Roman" w:cs="Times New Roman"/>
          <w:b/>
          <w:kern w:val="0"/>
          <w:sz w:val="24"/>
          <w:szCs w:val="24"/>
          <w:lang w:eastAsia="lo-LA" w:bidi="lo-LA"/>
          <w14:ligatures w14:val="none"/>
        </w:rPr>
        <w:t>PRET - NAV, ATTURAS - NAV</w:t>
      </w:r>
      <w:r w:rsidR="002347A6">
        <w:rPr>
          <w:rFonts w:ascii="Times New Roman" w:eastAsia="Times New Roman" w:hAnsi="Times New Roman" w:cs="Times New Roman"/>
          <w:kern w:val="0"/>
          <w:sz w:val="24"/>
          <w:szCs w:val="24"/>
          <w:lang w:eastAsia="lo-LA" w:bidi="lo-LA"/>
          <w14:ligatures w14:val="none"/>
        </w:rPr>
        <w:t xml:space="preserve">, Madonas novada pašvaldības dome </w:t>
      </w:r>
      <w:r w:rsidR="002347A6">
        <w:rPr>
          <w:rFonts w:ascii="Times New Roman" w:eastAsia="Times New Roman" w:hAnsi="Times New Roman" w:cs="Times New Roman"/>
          <w:b/>
          <w:kern w:val="0"/>
          <w:sz w:val="24"/>
          <w:szCs w:val="24"/>
          <w:lang w:eastAsia="lo-LA" w:bidi="lo-LA"/>
          <w14:ligatures w14:val="none"/>
        </w:rPr>
        <w:t>NOLEMJ</w:t>
      </w:r>
      <w:r w:rsidR="002347A6">
        <w:rPr>
          <w:rFonts w:ascii="Times New Roman" w:eastAsia="Times New Roman" w:hAnsi="Times New Roman" w:cs="Times New Roman"/>
          <w:kern w:val="0"/>
          <w:sz w:val="24"/>
          <w:szCs w:val="24"/>
          <w:lang w:eastAsia="lo-LA" w:bidi="lo-LA"/>
          <w14:ligatures w14:val="none"/>
        </w:rPr>
        <w:t>:</w:t>
      </w:r>
      <w:bookmarkEnd w:id="286"/>
      <w:r w:rsidR="002347A6">
        <w:rPr>
          <w:rFonts w:ascii="Times New Roman" w:eastAsia="Calibri" w:hAnsi="Times New Roman" w:cs="Times New Roman"/>
          <w:b/>
          <w:color w:val="000000"/>
          <w:sz w:val="24"/>
          <w:szCs w:val="24"/>
          <w:lang w:eastAsia="hi-IN" w:bidi="hi-IN"/>
        </w:rPr>
        <w:t xml:space="preserve">    </w:t>
      </w:r>
    </w:p>
    <w:p w14:paraId="050A8420" w14:textId="734F2E73" w:rsidR="00137427" w:rsidRPr="00137427" w:rsidRDefault="00137427" w:rsidP="002347A6">
      <w:pPr>
        <w:spacing w:after="0" w:line="240" w:lineRule="auto"/>
        <w:ind w:right="-1" w:firstLine="709"/>
        <w:jc w:val="both"/>
      </w:pPr>
    </w:p>
    <w:p w14:paraId="7F7B75B8" w14:textId="3F9DE1DB" w:rsidR="00137427" w:rsidRPr="00137427" w:rsidRDefault="00137427" w:rsidP="002347A6">
      <w:pPr>
        <w:pStyle w:val="Pamatteksts"/>
        <w:widowControl/>
        <w:numPr>
          <w:ilvl w:val="1"/>
          <w:numId w:val="55"/>
        </w:numPr>
        <w:suppressAutoHyphens w:val="0"/>
        <w:spacing w:after="0"/>
        <w:ind w:left="709" w:hanging="709"/>
        <w:jc w:val="both"/>
        <w:rPr>
          <w:bCs/>
        </w:rPr>
      </w:pPr>
      <w:r w:rsidRPr="00137427">
        <w:t>Demontēt piemiņas zīmi bojā gājušajam Padomju armijas lidotājam, kas atrodas Ļaudonas pagastā, Madonas novadā (zemes vienībā ar kadastra apzīmējumu 7070 007 0347)</w:t>
      </w:r>
      <w:r w:rsidR="007C4D2C">
        <w:t>.</w:t>
      </w:r>
    </w:p>
    <w:p w14:paraId="3E601997" w14:textId="23671FE2" w:rsidR="00137427" w:rsidRPr="00137427" w:rsidRDefault="00137427" w:rsidP="002347A6">
      <w:pPr>
        <w:pStyle w:val="Pamatteksts"/>
        <w:widowControl/>
        <w:numPr>
          <w:ilvl w:val="0"/>
          <w:numId w:val="56"/>
        </w:numPr>
        <w:suppressAutoHyphens w:val="0"/>
        <w:spacing w:after="0"/>
        <w:ind w:left="709" w:hanging="709"/>
        <w:jc w:val="both"/>
        <w:rPr>
          <w:bCs/>
        </w:rPr>
      </w:pPr>
      <w:r w:rsidRPr="00137427">
        <w:t>Šo lēmumu nosūtīt Latvijas Okupācijas muzejam un Nacionālo kultūras mantojuma pārvaldei</w:t>
      </w:r>
      <w:r w:rsidR="007C4D2C">
        <w:t>.</w:t>
      </w:r>
    </w:p>
    <w:p w14:paraId="07C2988A" w14:textId="77777777" w:rsidR="00137427" w:rsidRPr="00137427" w:rsidRDefault="00137427" w:rsidP="002347A6">
      <w:pPr>
        <w:pStyle w:val="Pamatteksts"/>
        <w:widowControl/>
        <w:numPr>
          <w:ilvl w:val="0"/>
          <w:numId w:val="56"/>
        </w:numPr>
        <w:suppressAutoHyphens w:val="0"/>
        <w:spacing w:after="0"/>
        <w:ind w:left="709" w:hanging="709"/>
        <w:jc w:val="both"/>
        <w:rPr>
          <w:bCs/>
        </w:rPr>
      </w:pPr>
      <w:r w:rsidRPr="00137427">
        <w:t>Objekta demontāžu uzdot veikt Ļaudonas pagastam, nosakot, ka:</w:t>
      </w:r>
    </w:p>
    <w:p w14:paraId="4F62A213" w14:textId="77777777" w:rsidR="00137427" w:rsidRPr="00137427" w:rsidRDefault="00137427" w:rsidP="002347A6">
      <w:pPr>
        <w:pStyle w:val="Pamatteksts"/>
        <w:widowControl/>
        <w:numPr>
          <w:ilvl w:val="1"/>
          <w:numId w:val="56"/>
        </w:numPr>
        <w:tabs>
          <w:tab w:val="left" w:pos="851"/>
          <w:tab w:val="left" w:pos="1134"/>
        </w:tabs>
        <w:suppressAutoHyphens w:val="0"/>
        <w:spacing w:after="0"/>
        <w:ind w:left="709" w:firstLine="0"/>
        <w:jc w:val="both"/>
        <w:rPr>
          <w:bCs/>
        </w:rPr>
      </w:pPr>
      <w:r w:rsidRPr="00137427">
        <w:rPr>
          <w:bCs/>
        </w:rPr>
        <w:t>demontāžas darbi veicami, ievērojot</w:t>
      </w:r>
      <w:r w:rsidRPr="00137427">
        <w:t xml:space="preserve"> likuma “Par padomju un nacistisko režīmu slavinošu objektu eksponēšanas aizliegumu un to demontāžu Latvijas Republikas teritorijā” 6</w:t>
      </w:r>
      <w:r w:rsidRPr="00137427">
        <w:rPr>
          <w:bCs/>
        </w:rPr>
        <w:t xml:space="preserve">. panta un būvniecību regulējošo normatīvo aktu nosacījumus;  </w:t>
      </w:r>
    </w:p>
    <w:p w14:paraId="15F098BC" w14:textId="77777777" w:rsidR="00137427" w:rsidRPr="00137427" w:rsidRDefault="00137427" w:rsidP="002347A6">
      <w:pPr>
        <w:pStyle w:val="Pamatteksts"/>
        <w:widowControl/>
        <w:numPr>
          <w:ilvl w:val="1"/>
          <w:numId w:val="56"/>
        </w:numPr>
        <w:tabs>
          <w:tab w:val="left" w:pos="851"/>
          <w:tab w:val="left" w:pos="1134"/>
        </w:tabs>
        <w:suppressAutoHyphens w:val="0"/>
        <w:spacing w:after="0"/>
        <w:ind w:left="709" w:firstLine="0"/>
        <w:jc w:val="both"/>
        <w:rPr>
          <w:bCs/>
        </w:rPr>
      </w:pPr>
      <w:r w:rsidRPr="00137427">
        <w:t>par demontāžas darbu uzsākšanu rakstveidā jāinformē zemes vienības īpašnieks vai tiesiskais valdītājs, izņemot gadījumu, ja tā ir pašvaldība;</w:t>
      </w:r>
    </w:p>
    <w:p w14:paraId="4A201201" w14:textId="7705DA0D" w:rsidR="00137427" w:rsidRPr="00137427" w:rsidRDefault="00137427" w:rsidP="002347A6">
      <w:pPr>
        <w:pStyle w:val="Pamatteksts"/>
        <w:widowControl/>
        <w:numPr>
          <w:ilvl w:val="1"/>
          <w:numId w:val="56"/>
        </w:numPr>
        <w:tabs>
          <w:tab w:val="left" w:pos="851"/>
          <w:tab w:val="left" w:pos="1134"/>
        </w:tabs>
        <w:suppressAutoHyphens w:val="0"/>
        <w:spacing w:after="0"/>
        <w:ind w:left="709" w:firstLine="0"/>
        <w:jc w:val="both"/>
        <w:rPr>
          <w:bCs/>
        </w:rPr>
      </w:pPr>
      <w:r w:rsidRPr="00137427">
        <w:t>Objektu demontāžu īstenot ne vēlāk kā līdz 2024. gada 1. novembrim</w:t>
      </w:r>
      <w:r w:rsidR="007C4D2C">
        <w:t>.</w:t>
      </w: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14:paraId="3061E484" w14:textId="77777777" w:rsidR="00844F41" w:rsidRDefault="00844F41" w:rsidP="005C1E30">
      <w:pPr>
        <w:spacing w:after="0" w:line="240" w:lineRule="auto"/>
        <w:contextualSpacing/>
        <w:jc w:val="both"/>
        <w:rPr>
          <w:rFonts w:ascii="Times New Roman" w:eastAsia="Times New Roman" w:hAnsi="Times New Roman" w:cs="Arial Unicode MS"/>
          <w:kern w:val="0"/>
          <w:sz w:val="24"/>
          <w:szCs w:val="24"/>
          <w:lang w:eastAsia="lv-LV" w:bidi="lo-LA"/>
          <w14:ligatures w14:val="none"/>
        </w:rPr>
      </w:pPr>
    </w:p>
    <w:p w14:paraId="0935FD6D" w14:textId="77777777" w:rsidR="00670644" w:rsidRDefault="00670644" w:rsidP="005C1E30">
      <w:pPr>
        <w:spacing w:after="0" w:line="240" w:lineRule="auto"/>
        <w:contextualSpacing/>
        <w:jc w:val="both"/>
        <w:rPr>
          <w:rFonts w:ascii="Times New Roman" w:hAnsi="Times New Roman" w:cs="Times New Roman"/>
          <w:kern w:val="0"/>
          <w:sz w:val="24"/>
          <w:szCs w:val="24"/>
          <w14:ligatures w14:val="none"/>
        </w:rPr>
      </w:pPr>
    </w:p>
    <w:p w14:paraId="5B969412" w14:textId="77777777" w:rsidR="00765F21" w:rsidRPr="001C774A" w:rsidRDefault="00765F21" w:rsidP="005C1E30">
      <w:pPr>
        <w:spacing w:after="0" w:line="240" w:lineRule="auto"/>
        <w:contextualSpacing/>
        <w:jc w:val="both"/>
        <w:rPr>
          <w:rFonts w:ascii="Times New Roman" w:hAnsi="Times New Roman" w:cs="Times New Roman"/>
          <w:kern w:val="0"/>
          <w:sz w:val="24"/>
          <w:szCs w:val="24"/>
          <w14:ligatures w14:val="none"/>
        </w:rPr>
      </w:pPr>
    </w:p>
    <w:p w14:paraId="2FF86982" w14:textId="0917CE19" w:rsidR="00FD1361" w:rsidRPr="00782666"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46C4E884" w14:textId="77777777" w:rsidR="00FD1361" w:rsidRDefault="00FD1361"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24C99E9A" w14:textId="77777777" w:rsidR="00670644" w:rsidRDefault="00670644"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674DB7A8" w14:textId="77777777" w:rsidR="007E0F69" w:rsidRDefault="007E0F69"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5FB127F0" w14:textId="77777777" w:rsidR="00137427" w:rsidRPr="00137427" w:rsidRDefault="00137427" w:rsidP="00137427">
      <w:pPr>
        <w:spacing w:after="0" w:line="240" w:lineRule="auto"/>
        <w:jc w:val="both"/>
        <w:rPr>
          <w:rFonts w:ascii="Times New Roman" w:hAnsi="Times New Roman" w:cs="Times New Roman"/>
          <w:i/>
          <w:iCs/>
          <w:sz w:val="24"/>
          <w:szCs w:val="24"/>
        </w:rPr>
      </w:pPr>
      <w:r w:rsidRPr="00137427">
        <w:rPr>
          <w:rFonts w:ascii="Times New Roman" w:hAnsi="Times New Roman" w:cs="Times New Roman"/>
          <w:i/>
          <w:iCs/>
          <w:sz w:val="24"/>
          <w:szCs w:val="24"/>
        </w:rPr>
        <w:t>Gora 25942682</w:t>
      </w:r>
    </w:p>
    <w:p w14:paraId="2D48227B" w14:textId="48E6F77C" w:rsidR="004067A5" w:rsidRPr="00782666" w:rsidRDefault="004067A5" w:rsidP="00137427">
      <w:pPr>
        <w:suppressAutoHyphens/>
        <w:spacing w:line="252" w:lineRule="auto"/>
        <w:rPr>
          <w:rFonts w:ascii="Calibri" w:eastAsia="Calibri" w:hAnsi="Calibri" w:cs="Times New Roman"/>
          <w:kern w:val="1"/>
          <w:sz w:val="24"/>
          <w:szCs w:val="24"/>
          <w:lang w:eastAsia="ar-SA"/>
          <w14:ligatures w14:val="none"/>
        </w:rPr>
      </w:pPr>
    </w:p>
    <w:sectPr w:rsidR="004067A5" w:rsidRPr="00782666" w:rsidSect="00A50AB8">
      <w:footerReference w:type="default" r:id="rId14"/>
      <w:footerReference w:type="first" r:id="rId15"/>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A5754" w14:textId="77777777" w:rsidR="00E5402D" w:rsidRDefault="00E5402D">
      <w:pPr>
        <w:spacing w:after="0" w:line="240" w:lineRule="auto"/>
      </w:pPr>
      <w:r>
        <w:separator/>
      </w:r>
    </w:p>
  </w:endnote>
  <w:endnote w:type="continuationSeparator" w:id="0">
    <w:p w14:paraId="2E9DDB6B" w14:textId="77777777" w:rsidR="00E5402D" w:rsidRDefault="00E5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082F5" w14:textId="55CFD7B9" w:rsidR="00810C80" w:rsidRPr="00D51911" w:rsidRDefault="00810C80" w:rsidP="00810C80">
    <w:pPr>
      <w:pStyle w:val="Kjene"/>
    </w:pPr>
    <w:r w:rsidRPr="003C7F1F">
      <w:rPr>
        <w:sz w:val="20"/>
        <w:szCs w:val="20"/>
      </w:rPr>
      <w:t>DOKUMENTS PARAKSTĪTS AR DROŠU ELEKTRONISKO PARAKSTU UN SATUR LAIKA ZĪMOGU</w:t>
    </w:r>
  </w:p>
  <w:p w14:paraId="453AC502" w14:textId="15FE3F52" w:rsidR="00810C80" w:rsidRDefault="00810C80">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200CE" w14:textId="77777777" w:rsidR="00E5402D" w:rsidRDefault="00E5402D">
      <w:pPr>
        <w:spacing w:after="0" w:line="240" w:lineRule="auto"/>
      </w:pPr>
      <w:r>
        <w:separator/>
      </w:r>
    </w:p>
  </w:footnote>
  <w:footnote w:type="continuationSeparator" w:id="0">
    <w:p w14:paraId="43069CC9" w14:textId="77777777" w:rsidR="00E5402D" w:rsidRDefault="00E54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8D5EA0"/>
    <w:multiLevelType w:val="hybridMultilevel"/>
    <w:tmpl w:val="B252A510"/>
    <w:lvl w:ilvl="0" w:tplc="DBAE41D4">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033A6"/>
    <w:multiLevelType w:val="hybridMultilevel"/>
    <w:tmpl w:val="420AEF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BA1589"/>
    <w:multiLevelType w:val="multilevel"/>
    <w:tmpl w:val="660A1FB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21F63AC"/>
    <w:multiLevelType w:val="hybridMultilevel"/>
    <w:tmpl w:val="F48C3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5F8E2306"/>
    <w:multiLevelType w:val="hybridMultilevel"/>
    <w:tmpl w:val="16C87354"/>
    <w:lvl w:ilvl="0" w:tplc="470048C4">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CCA5000"/>
    <w:multiLevelType w:val="hybridMultilevel"/>
    <w:tmpl w:val="8612F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D9948DD"/>
    <w:multiLevelType w:val="hybridMultilevel"/>
    <w:tmpl w:val="12D4C75A"/>
    <w:lvl w:ilvl="0" w:tplc="951A9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52D087B"/>
    <w:multiLevelType w:val="hybridMultilevel"/>
    <w:tmpl w:val="336E8506"/>
    <w:lvl w:ilvl="0" w:tplc="D62277FA">
      <w:start w:val="1"/>
      <w:numFmt w:val="decimal"/>
      <w:lvlText w:val="%1."/>
      <w:lvlJc w:val="left"/>
      <w:pPr>
        <w:ind w:left="792" w:hanging="360"/>
      </w:pPr>
      <w:rPr>
        <w:rFonts w:hint="default"/>
        <w:i w:val="0"/>
        <w:iCs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9755E56"/>
    <w:multiLevelType w:val="hybridMultilevel"/>
    <w:tmpl w:val="7C30D854"/>
    <w:lvl w:ilvl="0" w:tplc="4C3E56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0"/>
  </w:num>
  <w:num w:numId="2" w16cid:durableId="2028867514">
    <w:abstractNumId w:val="25"/>
  </w:num>
  <w:num w:numId="3" w16cid:durableId="971324600">
    <w:abstractNumId w:val="38"/>
  </w:num>
  <w:num w:numId="4" w16cid:durableId="896890245">
    <w:abstractNumId w:val="20"/>
  </w:num>
  <w:num w:numId="5" w16cid:durableId="1305887874">
    <w:abstractNumId w:val="3"/>
  </w:num>
  <w:num w:numId="6" w16cid:durableId="543949159">
    <w:abstractNumId w:val="46"/>
  </w:num>
  <w:num w:numId="7" w16cid:durableId="777412574">
    <w:abstractNumId w:val="12"/>
  </w:num>
  <w:num w:numId="8" w16cid:durableId="1267038869">
    <w:abstractNumId w:val="49"/>
  </w:num>
  <w:num w:numId="9" w16cid:durableId="919214467">
    <w:abstractNumId w:val="47"/>
  </w:num>
  <w:num w:numId="10" w16cid:durableId="125508747">
    <w:abstractNumId w:val="28"/>
  </w:num>
  <w:num w:numId="11" w16cid:durableId="1502504359">
    <w:abstractNumId w:val="2"/>
  </w:num>
  <w:num w:numId="12" w16cid:durableId="699165212">
    <w:abstractNumId w:val="11"/>
  </w:num>
  <w:num w:numId="13" w16cid:durableId="1307583220">
    <w:abstractNumId w:val="13"/>
  </w:num>
  <w:num w:numId="14" w16cid:durableId="69624136">
    <w:abstractNumId w:val="40"/>
  </w:num>
  <w:num w:numId="15" w16cid:durableId="347340947">
    <w:abstractNumId w:val="18"/>
  </w:num>
  <w:num w:numId="16" w16cid:durableId="1668482134">
    <w:abstractNumId w:val="4"/>
  </w:num>
  <w:num w:numId="17" w16cid:durableId="1407530012">
    <w:abstractNumId w:val="33"/>
  </w:num>
  <w:num w:numId="18" w16cid:durableId="1032151322">
    <w:abstractNumId w:val="39"/>
  </w:num>
  <w:num w:numId="19" w16cid:durableId="1497919565">
    <w:abstractNumId w:val="6"/>
  </w:num>
  <w:num w:numId="20" w16cid:durableId="1164053798">
    <w:abstractNumId w:val="7"/>
  </w:num>
  <w:num w:numId="21" w16cid:durableId="1202593000">
    <w:abstractNumId w:val="22"/>
  </w:num>
  <w:num w:numId="22" w16cid:durableId="578371887">
    <w:abstractNumId w:val="42"/>
  </w:num>
  <w:num w:numId="23" w16cid:durableId="1423256168">
    <w:abstractNumId w:val="10"/>
  </w:num>
  <w:num w:numId="24" w16cid:durableId="996618554">
    <w:abstractNumId w:val="17"/>
  </w:num>
  <w:num w:numId="25" w16cid:durableId="498078370">
    <w:abstractNumId w:val="9"/>
  </w:num>
  <w:num w:numId="26" w16cid:durableId="995567603">
    <w:abstractNumId w:val="32"/>
  </w:num>
  <w:num w:numId="27" w16cid:durableId="1370913584">
    <w:abstractNumId w:val="24"/>
  </w:num>
  <w:num w:numId="28" w16cid:durableId="1451321784">
    <w:abstractNumId w:val="1"/>
  </w:num>
  <w:num w:numId="29" w16cid:durableId="272593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1"/>
  </w:num>
  <w:num w:numId="32" w16cid:durableId="1804418744">
    <w:abstractNumId w:val="35"/>
  </w:num>
  <w:num w:numId="33" w16cid:durableId="1193112501">
    <w:abstractNumId w:val="54"/>
  </w:num>
  <w:num w:numId="34" w16cid:durableId="767123615">
    <w:abstractNumId w:val="29"/>
  </w:num>
  <w:num w:numId="35" w16cid:durableId="578831254">
    <w:abstractNumId w:val="23"/>
  </w:num>
  <w:num w:numId="36" w16cid:durableId="1339767488">
    <w:abstractNumId w:val="16"/>
  </w:num>
  <w:num w:numId="37" w16cid:durableId="895512147">
    <w:abstractNumId w:val="26"/>
  </w:num>
  <w:num w:numId="38" w16cid:durableId="14286919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52"/>
  </w:num>
  <w:num w:numId="40" w16cid:durableId="418529649">
    <w:abstractNumId w:val="44"/>
  </w:num>
  <w:num w:numId="41" w16cid:durableId="522984173">
    <w:abstractNumId w:val="14"/>
  </w:num>
  <w:num w:numId="42" w16cid:durableId="992756063">
    <w:abstractNumId w:val="5"/>
  </w:num>
  <w:num w:numId="43" w16cid:durableId="1474908512">
    <w:abstractNumId w:val="8"/>
  </w:num>
  <w:num w:numId="44" w16cid:durableId="1550262036">
    <w:abstractNumId w:val="43"/>
  </w:num>
  <w:num w:numId="45" w16cid:durableId="2046786844">
    <w:abstractNumId w:val="31"/>
  </w:num>
  <w:num w:numId="46" w16cid:durableId="663820778">
    <w:abstractNumId w:val="37"/>
  </w:num>
  <w:num w:numId="47" w16cid:durableId="1396011293">
    <w:abstractNumId w:val="48"/>
  </w:num>
  <w:num w:numId="48" w16cid:durableId="1872255758">
    <w:abstractNumId w:val="45"/>
  </w:num>
  <w:num w:numId="49" w16cid:durableId="1221133175">
    <w:abstractNumId w:val="34"/>
  </w:num>
  <w:num w:numId="50" w16cid:durableId="388190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0475143">
    <w:abstractNumId w:val="27"/>
  </w:num>
  <w:num w:numId="52" w16cid:durableId="1972519223">
    <w:abstractNumId w:val="15"/>
  </w:num>
  <w:num w:numId="53" w16cid:durableId="1117604882">
    <w:abstractNumId w:val="53"/>
  </w:num>
  <w:num w:numId="54" w16cid:durableId="623194977">
    <w:abstractNumId w:val="36"/>
  </w:num>
  <w:num w:numId="55" w16cid:durableId="1768695440">
    <w:abstractNumId w:val="51"/>
  </w:num>
  <w:num w:numId="56" w16cid:durableId="913513430">
    <w:abstractNumId w:val="21"/>
  </w:num>
  <w:num w:numId="57" w16cid:durableId="163887545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316CF"/>
    <w:rsid w:val="00046391"/>
    <w:rsid w:val="00051C72"/>
    <w:rsid w:val="000567A7"/>
    <w:rsid w:val="00064C7C"/>
    <w:rsid w:val="00085888"/>
    <w:rsid w:val="0009534C"/>
    <w:rsid w:val="00095DC5"/>
    <w:rsid w:val="000B6ED6"/>
    <w:rsid w:val="000D2234"/>
    <w:rsid w:val="001010C6"/>
    <w:rsid w:val="00120527"/>
    <w:rsid w:val="0012355D"/>
    <w:rsid w:val="0012688C"/>
    <w:rsid w:val="00137427"/>
    <w:rsid w:val="001410EE"/>
    <w:rsid w:val="00144213"/>
    <w:rsid w:val="00153C13"/>
    <w:rsid w:val="001557A8"/>
    <w:rsid w:val="001847D0"/>
    <w:rsid w:val="00191F27"/>
    <w:rsid w:val="001B1333"/>
    <w:rsid w:val="001C774A"/>
    <w:rsid w:val="00206967"/>
    <w:rsid w:val="002347A6"/>
    <w:rsid w:val="00236EBF"/>
    <w:rsid w:val="00237B4C"/>
    <w:rsid w:val="002801D6"/>
    <w:rsid w:val="002E102F"/>
    <w:rsid w:val="00337104"/>
    <w:rsid w:val="00337383"/>
    <w:rsid w:val="00350EF4"/>
    <w:rsid w:val="00356FDD"/>
    <w:rsid w:val="003901A5"/>
    <w:rsid w:val="00396F4C"/>
    <w:rsid w:val="003B1E29"/>
    <w:rsid w:val="003B36CE"/>
    <w:rsid w:val="003D1A3F"/>
    <w:rsid w:val="003E4DF7"/>
    <w:rsid w:val="003F1582"/>
    <w:rsid w:val="004067A5"/>
    <w:rsid w:val="00427160"/>
    <w:rsid w:val="00466DA1"/>
    <w:rsid w:val="00487890"/>
    <w:rsid w:val="004C7232"/>
    <w:rsid w:val="004D1E9F"/>
    <w:rsid w:val="00512E96"/>
    <w:rsid w:val="005314A4"/>
    <w:rsid w:val="0053526B"/>
    <w:rsid w:val="0053732B"/>
    <w:rsid w:val="005C1E30"/>
    <w:rsid w:val="005D2F40"/>
    <w:rsid w:val="005E559B"/>
    <w:rsid w:val="005F1832"/>
    <w:rsid w:val="005F45A5"/>
    <w:rsid w:val="005F7474"/>
    <w:rsid w:val="00601D49"/>
    <w:rsid w:val="00606ABC"/>
    <w:rsid w:val="0062372C"/>
    <w:rsid w:val="006335D9"/>
    <w:rsid w:val="00670644"/>
    <w:rsid w:val="00696794"/>
    <w:rsid w:val="006B7B77"/>
    <w:rsid w:val="006D1878"/>
    <w:rsid w:val="00700BD7"/>
    <w:rsid w:val="00701709"/>
    <w:rsid w:val="00751BAE"/>
    <w:rsid w:val="00765F21"/>
    <w:rsid w:val="00782666"/>
    <w:rsid w:val="007973E9"/>
    <w:rsid w:val="007C4D2C"/>
    <w:rsid w:val="007D0C5D"/>
    <w:rsid w:val="007E0F69"/>
    <w:rsid w:val="00810C80"/>
    <w:rsid w:val="00811259"/>
    <w:rsid w:val="008219F8"/>
    <w:rsid w:val="008404FD"/>
    <w:rsid w:val="00840BA6"/>
    <w:rsid w:val="00844F41"/>
    <w:rsid w:val="00870B96"/>
    <w:rsid w:val="008A1CDC"/>
    <w:rsid w:val="008B2FAC"/>
    <w:rsid w:val="008F70EC"/>
    <w:rsid w:val="00922F72"/>
    <w:rsid w:val="00927E75"/>
    <w:rsid w:val="00933C67"/>
    <w:rsid w:val="00953CEA"/>
    <w:rsid w:val="009637E1"/>
    <w:rsid w:val="00963FEE"/>
    <w:rsid w:val="009714F8"/>
    <w:rsid w:val="009E6A4F"/>
    <w:rsid w:val="009F42F5"/>
    <w:rsid w:val="00A031CC"/>
    <w:rsid w:val="00A07101"/>
    <w:rsid w:val="00A479E4"/>
    <w:rsid w:val="00A50AB8"/>
    <w:rsid w:val="00A63649"/>
    <w:rsid w:val="00AE467A"/>
    <w:rsid w:val="00B0603C"/>
    <w:rsid w:val="00B32F5B"/>
    <w:rsid w:val="00B5303D"/>
    <w:rsid w:val="00B7235F"/>
    <w:rsid w:val="00B81B0C"/>
    <w:rsid w:val="00B9621F"/>
    <w:rsid w:val="00C3211E"/>
    <w:rsid w:val="00C819FC"/>
    <w:rsid w:val="00CD25C6"/>
    <w:rsid w:val="00CE59E7"/>
    <w:rsid w:val="00D0588C"/>
    <w:rsid w:val="00D22661"/>
    <w:rsid w:val="00D22789"/>
    <w:rsid w:val="00D27C6F"/>
    <w:rsid w:val="00D43C5B"/>
    <w:rsid w:val="00D530A0"/>
    <w:rsid w:val="00D66B27"/>
    <w:rsid w:val="00D715AD"/>
    <w:rsid w:val="00D76B7D"/>
    <w:rsid w:val="00D92D9F"/>
    <w:rsid w:val="00DD71BC"/>
    <w:rsid w:val="00E03875"/>
    <w:rsid w:val="00E5402D"/>
    <w:rsid w:val="00EB32BA"/>
    <w:rsid w:val="00EC1704"/>
    <w:rsid w:val="00ED2B67"/>
    <w:rsid w:val="00ED5A07"/>
    <w:rsid w:val="00EE2BA4"/>
    <w:rsid w:val="00F65FA4"/>
    <w:rsid w:val="00F66425"/>
    <w:rsid w:val="00FA7578"/>
    <w:rsid w:val="00FC0360"/>
    <w:rsid w:val="00FD1361"/>
    <w:rsid w:val="00FD430D"/>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62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3439" TargetMode="External"/><Relationship Id="rId13" Type="http://schemas.openxmlformats.org/officeDocument/2006/relationships/hyperlink" Target="https://likumi.lv/ta/id/33343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33343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3343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ikumi.lv/ta/id/333439" TargetMode="External"/><Relationship Id="rId4" Type="http://schemas.openxmlformats.org/officeDocument/2006/relationships/webSettings" Target="webSettings.xml"/><Relationship Id="rId9" Type="http://schemas.openxmlformats.org/officeDocument/2006/relationships/hyperlink" Target="https://likumi.lv/ta/id/333439"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5577</Words>
  <Characters>3179</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65</cp:revision>
  <dcterms:created xsi:type="dcterms:W3CDTF">2024-09-06T08:06:00Z</dcterms:created>
  <dcterms:modified xsi:type="dcterms:W3CDTF">2024-09-26T12:59:00Z</dcterms:modified>
</cp:coreProperties>
</file>